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EEE" w:rsidRPr="00690EEE" w:rsidRDefault="00690EEE" w:rsidP="00690EEE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690EEE" w:rsidRPr="00690EEE" w:rsidRDefault="00690EEE" w:rsidP="00690EEE">
      <w:pPr>
        <w:pStyle w:val="OZNRODZAKTUtznustawalubrozporzdzenieiorganwydajcy"/>
      </w:pPr>
      <w:r w:rsidRPr="00690EEE">
        <w:t>USTAWA</w:t>
      </w:r>
    </w:p>
    <w:p w:rsidR="00690EEE" w:rsidRPr="00690EEE" w:rsidRDefault="00690EEE" w:rsidP="00690EEE">
      <w:pPr>
        <w:pStyle w:val="DATAAKTUdatauchwalenialubwydaniaaktu"/>
      </w:pPr>
      <w:r w:rsidRPr="00690EEE">
        <w:t>z dnia</w:t>
      </w:r>
    </w:p>
    <w:p w:rsidR="00690EEE" w:rsidRPr="00690EEE" w:rsidRDefault="00690EEE" w:rsidP="00690EEE">
      <w:pPr>
        <w:pStyle w:val="TYTUAKTUprzedmiotregulacjiustawylubrozporzdzenia"/>
      </w:pPr>
      <w:r w:rsidRPr="00690EEE">
        <w:t>o zmianie ustawy o pracowniczych programach emerytalnych</w:t>
      </w:r>
      <w:r w:rsidRPr="00690EEE">
        <w:rPr>
          <w:rStyle w:val="IGPindeksgrnyipogrubienie"/>
        </w:rPr>
        <w:footnoteReference w:id="1"/>
      </w:r>
      <w:r w:rsidRPr="00690EEE">
        <w:rPr>
          <w:rStyle w:val="IGPindeksgrnyipogrubienie"/>
        </w:rPr>
        <w:t>)</w:t>
      </w:r>
    </w:p>
    <w:p w:rsidR="00690EEE" w:rsidRPr="00690EEE" w:rsidRDefault="00690EEE" w:rsidP="00690EEE">
      <w:pPr>
        <w:pStyle w:val="ARTartustawynprozporzdzenia"/>
        <w:keepNext/>
      </w:pPr>
      <w:r w:rsidRPr="00690EEE">
        <w:rPr>
          <w:rStyle w:val="Ppogrubienie"/>
        </w:rPr>
        <w:t>Art. 1.</w:t>
      </w:r>
      <w:r w:rsidRPr="00690EEE">
        <w:t xml:space="preserve"> W ustawie z dnia 20 kwietnia 2004 r. o pracowniczych programach emerytalnych (Dz. U. z 2016 r. poz. 1449) wprowadza się następujące zmiany:</w:t>
      </w:r>
    </w:p>
    <w:p w:rsidR="00690EEE" w:rsidRPr="00690EEE" w:rsidRDefault="00690EEE" w:rsidP="00690EEE">
      <w:pPr>
        <w:pStyle w:val="PKTpunkt"/>
        <w:keepNext/>
      </w:pPr>
      <w:r w:rsidRPr="00690EEE">
        <w:t>1)</w:t>
      </w:r>
      <w:r w:rsidRPr="00690EEE">
        <w:tab/>
        <w:t>w art. 5:</w:t>
      </w:r>
    </w:p>
    <w:p w:rsidR="00690EEE" w:rsidRPr="00690EEE" w:rsidRDefault="00690EEE" w:rsidP="00690EEE">
      <w:pPr>
        <w:pStyle w:val="LITlitera"/>
      </w:pPr>
      <w:r>
        <w:t>a)</w:t>
      </w:r>
      <w:r>
        <w:tab/>
      </w:r>
      <w:r w:rsidRPr="00690EEE">
        <w:t xml:space="preserve">w ust. 1 kropkę zastępuje się przecinkiem i dodaje się wyrazy </w:t>
      </w:r>
      <w:r>
        <w:t>„</w:t>
      </w:r>
      <w:r w:rsidRPr="00690EEE">
        <w:t>z</w:t>
      </w:r>
      <w:r>
        <w:t> </w:t>
      </w:r>
      <w:r w:rsidRPr="00690EEE">
        <w:t>zastrzeżeniem ust.</w:t>
      </w:r>
      <w:r w:rsidR="00404F3C">
        <w:t> </w:t>
      </w:r>
      <w:r w:rsidRPr="00690EEE">
        <w:t>1c.</w:t>
      </w:r>
      <w:r>
        <w:t>”</w:t>
      </w:r>
      <w:r w:rsidRPr="00690EEE">
        <w:t>,</w:t>
      </w:r>
    </w:p>
    <w:p w:rsidR="00690EEE" w:rsidRPr="00690EEE" w:rsidRDefault="00690EEE" w:rsidP="00690EEE">
      <w:pPr>
        <w:pStyle w:val="LITlitera"/>
        <w:keepNext/>
      </w:pPr>
      <w:r>
        <w:t>b)</w:t>
      </w:r>
      <w:r>
        <w:tab/>
      </w:r>
      <w:r w:rsidRPr="00690EEE">
        <w:t>po ust. 1b dodaje się ust. 1c w brzmieniu:</w:t>
      </w:r>
    </w:p>
    <w:p w:rsidR="00690EEE" w:rsidRPr="00690EEE" w:rsidRDefault="00690EEE" w:rsidP="00690EEE">
      <w:pPr>
        <w:pStyle w:val="ZLITUSTzmustliter"/>
      </w:pPr>
      <w:r>
        <w:t>„</w:t>
      </w:r>
      <w:r w:rsidRPr="00690EEE">
        <w:t>1c.</w:t>
      </w:r>
      <w:r>
        <w:t xml:space="preserve"> </w:t>
      </w:r>
      <w:r w:rsidRPr="00690EEE">
        <w:t>Umowa zakładowa nie może przewidywać dłuższego niż 3</w:t>
      </w:r>
      <w:r>
        <w:t xml:space="preserve"> </w:t>
      </w:r>
      <w:r w:rsidRPr="00690EEE">
        <w:t>lata stażu pracy u</w:t>
      </w:r>
      <w:r>
        <w:t xml:space="preserve"> </w:t>
      </w:r>
      <w:r w:rsidRPr="00690EEE">
        <w:t>danego pracodawcy, uprawniającego do uczestnictwa w programie.</w:t>
      </w:r>
      <w:r>
        <w:t>”</w:t>
      </w:r>
      <w:r w:rsidRPr="00690EEE">
        <w:t>;</w:t>
      </w:r>
    </w:p>
    <w:p w:rsidR="00690EEE" w:rsidRPr="00690EEE" w:rsidRDefault="00690EEE" w:rsidP="00690EEE">
      <w:pPr>
        <w:pStyle w:val="PKTpunkt"/>
        <w:keepNext/>
      </w:pPr>
      <w:r w:rsidRPr="00690EEE">
        <w:t>2)</w:t>
      </w:r>
      <w:r w:rsidRPr="00690EEE">
        <w:tab/>
        <w:t>w art. 22 ust. 1 otrzymuje brzmienie:</w:t>
      </w:r>
    </w:p>
    <w:p w:rsidR="00690EEE" w:rsidRPr="00690EEE" w:rsidRDefault="00690EEE" w:rsidP="00690EEE">
      <w:pPr>
        <w:pStyle w:val="ZUSTzmustartykuempunktem"/>
      </w:pPr>
      <w:r>
        <w:t>„</w:t>
      </w:r>
      <w:r w:rsidRPr="00690EEE">
        <w:t>1.</w:t>
      </w:r>
      <w:r>
        <w:t xml:space="preserve"> </w:t>
      </w:r>
      <w:r w:rsidRPr="00690EEE">
        <w:t>Pracodawca jest obowiązany do przekazywania pracownikom w sposób zrozumiały, na piśmie, w postaci papierowej lub elektronicznej informacji o</w:t>
      </w:r>
      <w:r>
        <w:t xml:space="preserve"> </w:t>
      </w:r>
      <w:r w:rsidRPr="00690EEE">
        <w:t>warunkach funkcjonowania programu.</w:t>
      </w:r>
      <w:r>
        <w:t>”</w:t>
      </w:r>
      <w:r w:rsidRPr="00690EEE">
        <w:t>;</w:t>
      </w:r>
    </w:p>
    <w:p w:rsidR="00690EEE" w:rsidRPr="00690EEE" w:rsidRDefault="00690EEE" w:rsidP="00690EEE">
      <w:pPr>
        <w:pStyle w:val="PKTpunkt"/>
        <w:keepNext/>
      </w:pPr>
      <w:r w:rsidRPr="00690EEE">
        <w:t>3)</w:t>
      </w:r>
      <w:r w:rsidRPr="00690EEE">
        <w:tab/>
        <w:t>po art. 22 dodaje się art. 22a w brzmieniu:</w:t>
      </w:r>
    </w:p>
    <w:p w:rsidR="00690EEE" w:rsidRPr="00690EEE" w:rsidRDefault="00690EEE" w:rsidP="00690EEE">
      <w:pPr>
        <w:pStyle w:val="ZARTzmartartykuempunktem"/>
      </w:pPr>
      <w:r>
        <w:t xml:space="preserve">„Art. 22a. 1. </w:t>
      </w:r>
      <w:r w:rsidRPr="00690EEE">
        <w:t>Na wniosek uczestnika programu, jednak nie częściej niż raz w</w:t>
      </w:r>
      <w:r>
        <w:t xml:space="preserve"> </w:t>
      </w:r>
      <w:r w:rsidRPr="00690EEE">
        <w:t>roku, pracodawca niezwłocznie udziela uczestnikowi na piśmie, w postaci papierowej lub elektronicznej, informacji o</w:t>
      </w:r>
      <w:r>
        <w:t xml:space="preserve"> </w:t>
      </w:r>
      <w:r w:rsidRPr="00690EEE">
        <w:t>skutkach prawnych ustania zatrudnienia uczestnika w</w:t>
      </w:r>
      <w:r>
        <w:t> </w:t>
      </w:r>
      <w:r w:rsidRPr="00690EEE">
        <w:t>odniesieniu do środków gromadzonych na jego rachunku. Informacja ta powinna być sporządzona z użyciem jasnego, zwięzłego i zrozumiałego języka.</w:t>
      </w:r>
    </w:p>
    <w:p w:rsidR="00690EEE" w:rsidRPr="00690EEE" w:rsidRDefault="00690EEE" w:rsidP="00690EEE">
      <w:pPr>
        <w:pStyle w:val="ZUSTzmustartykuempunktem"/>
        <w:keepNext/>
      </w:pPr>
      <w:r>
        <w:t xml:space="preserve">2. </w:t>
      </w:r>
      <w:r w:rsidRPr="00690EEE">
        <w:t>Informacja, o której mowa w ust. 1, zawiera w szczególności:</w:t>
      </w:r>
    </w:p>
    <w:p w:rsidR="00690EEE" w:rsidRPr="00690EEE" w:rsidRDefault="00690EEE" w:rsidP="00690EEE">
      <w:pPr>
        <w:pStyle w:val="ZPKTzmpktartykuempunktem"/>
      </w:pPr>
      <w:r>
        <w:t>1)</w:t>
      </w:r>
      <w:r>
        <w:tab/>
      </w:r>
      <w:r w:rsidRPr="00690EEE">
        <w:t>warunki nabycia prawa do wypłaty, wypłaty transferowej i zwrotu zgromadzonych na rachunku uczestnika środków;</w:t>
      </w:r>
    </w:p>
    <w:p w:rsidR="00690EEE" w:rsidRPr="00690EEE" w:rsidRDefault="00690EEE" w:rsidP="00690EEE">
      <w:pPr>
        <w:pStyle w:val="ZPKTzmpktartykuempunktem"/>
      </w:pPr>
      <w:r>
        <w:t>2)</w:t>
      </w:r>
      <w:r>
        <w:tab/>
      </w:r>
      <w:r w:rsidRPr="00690EEE">
        <w:t>wartość zgromadzonych na rachunku uczestnika środków, na dzień sporządzenia informacji;</w:t>
      </w:r>
    </w:p>
    <w:p w:rsidR="00690EEE" w:rsidRPr="00690EEE" w:rsidRDefault="00690EEE" w:rsidP="00690EEE">
      <w:pPr>
        <w:pStyle w:val="ZPKTzmpktartykuempunktem"/>
      </w:pPr>
      <w:r>
        <w:lastRenderedPageBreak/>
        <w:t>3)</w:t>
      </w:r>
      <w:r>
        <w:tab/>
      </w:r>
      <w:r w:rsidRPr="00690EEE">
        <w:t>informację o tym, że w przypadku ustania zatrudnienia u pracodawcy prowadzącego program lub likwidacji programu środki zgromadzone na rachunku pozostają na rachunku i są inwestowane w instytucji finansowej, na zasadach analogicznych jak w przypadku pozostałych uczestników programu;</w:t>
      </w:r>
    </w:p>
    <w:p w:rsidR="00690EEE" w:rsidRPr="00690EEE" w:rsidRDefault="00690EEE" w:rsidP="00690EEE">
      <w:pPr>
        <w:pStyle w:val="ZPKTzmpktartykuempunktem"/>
      </w:pPr>
      <w:r>
        <w:t>4)</w:t>
      </w:r>
      <w:r>
        <w:tab/>
      </w:r>
      <w:r w:rsidRPr="00690EEE">
        <w:t xml:space="preserve">pouczenie, że w przypadku dokonania zwrotu uczestnik powinien rozważyć zasięgnięcie porady w sprawie zainwestowania środków zgromadzonych na rachunku uczestnika, </w:t>
      </w:r>
      <w:r w:rsidR="00D838A5">
        <w:t xml:space="preserve">w </w:t>
      </w:r>
      <w:r w:rsidRPr="00690EEE">
        <w:t>cel</w:t>
      </w:r>
      <w:r w:rsidR="00D838A5">
        <w:t>u</w:t>
      </w:r>
      <w:r w:rsidRPr="00690EEE">
        <w:t xml:space="preserve"> uzyskania dodatkowego świadczenia emerytalnego.</w:t>
      </w:r>
    </w:p>
    <w:p w:rsidR="00690EEE" w:rsidRPr="00690EEE" w:rsidRDefault="00690EEE" w:rsidP="00690EEE">
      <w:pPr>
        <w:pStyle w:val="ZUSTzmustartykuempunktem"/>
        <w:keepNext/>
      </w:pPr>
      <w:r>
        <w:t xml:space="preserve">3. </w:t>
      </w:r>
      <w:r w:rsidRPr="00690EEE">
        <w:t>Na wniosek byłego pracownika, jednak nie częściej niż raz w</w:t>
      </w:r>
      <w:r>
        <w:t xml:space="preserve"> </w:t>
      </w:r>
      <w:r w:rsidRPr="00690EEE">
        <w:t>roku, pracodawca prowadzący program niezwłocznie udziela byłemu pracownikowi na piśmie, w</w:t>
      </w:r>
      <w:r>
        <w:t xml:space="preserve"> </w:t>
      </w:r>
      <w:r w:rsidRPr="00690EEE">
        <w:t>postaci papierowej lub elektronicznej, informacji, sporządzonej z użyciem jasnego, zwięzłego i</w:t>
      </w:r>
      <w:r>
        <w:t> </w:t>
      </w:r>
      <w:r w:rsidRPr="00690EEE">
        <w:t>zrozumiałego języka na temat:</w:t>
      </w:r>
    </w:p>
    <w:p w:rsidR="00690EEE" w:rsidRPr="00690EEE" w:rsidRDefault="00690EEE" w:rsidP="00690EEE">
      <w:pPr>
        <w:pStyle w:val="ZPKTzmpktartykuempunktem"/>
      </w:pPr>
      <w:r>
        <w:t>1)</w:t>
      </w:r>
      <w:r>
        <w:tab/>
      </w:r>
      <w:r w:rsidRPr="00690EEE">
        <w:t>wartości zgromadzonych na rachunku byłego pracownika środków;</w:t>
      </w:r>
    </w:p>
    <w:p w:rsidR="00690EEE" w:rsidRPr="00690EEE" w:rsidRDefault="00690EEE" w:rsidP="00690EEE">
      <w:pPr>
        <w:pStyle w:val="ZPKTzmpktartykuempunktem"/>
      </w:pPr>
      <w:r>
        <w:t>2)</w:t>
      </w:r>
      <w:r>
        <w:tab/>
      </w:r>
      <w:r w:rsidRPr="00690EEE">
        <w:t>stosowania takich samych zasad co do środków zgromadzonych na rachunku wobec wszystkich uczestników programu.</w:t>
      </w:r>
    </w:p>
    <w:p w:rsidR="00690EEE" w:rsidRPr="00690EEE" w:rsidRDefault="00690EEE" w:rsidP="00690EEE">
      <w:pPr>
        <w:pStyle w:val="ZUSTzmustartykuempunktem"/>
      </w:pPr>
      <w:r>
        <w:t xml:space="preserve">4. </w:t>
      </w:r>
      <w:r w:rsidRPr="00690EEE">
        <w:t>Osobom uprawnionym do otrzymania środków zgromadzonych przez uczestnika programu w przypadku jego śmierci, które zamierzają otrzymać wypłatę środków, o</w:t>
      </w:r>
      <w:r>
        <w:t> </w:t>
      </w:r>
      <w:r w:rsidRPr="00690EEE">
        <w:t>których mowa w ust. 1, pracodawca zmarłego uczestnika programu udostępnia informacje na zasadach określonych w ust. 3.</w:t>
      </w:r>
    </w:p>
    <w:p w:rsidR="00690EEE" w:rsidRPr="00690EEE" w:rsidRDefault="00690EEE" w:rsidP="00690EEE">
      <w:pPr>
        <w:pStyle w:val="ZUSTzmustartykuempunktem"/>
      </w:pPr>
      <w:r>
        <w:t xml:space="preserve">5. </w:t>
      </w:r>
      <w:r w:rsidRPr="00690EEE">
        <w:t>Zarządzający niezwłocznie przekazuje pracodawcy na jego wniosek informacje określone w ust. 2 pkt 2 oraz ust. 3 pkt 1.</w:t>
      </w:r>
      <w:r>
        <w:t>”</w:t>
      </w:r>
      <w:r w:rsidRPr="00690EEE">
        <w:t>.</w:t>
      </w:r>
    </w:p>
    <w:p w:rsidR="00690EEE" w:rsidRPr="00690EEE" w:rsidRDefault="00690EEE" w:rsidP="00690EEE">
      <w:pPr>
        <w:pStyle w:val="ARTartustawynprozporzdzenia"/>
      </w:pPr>
      <w:r w:rsidRPr="00690EEE">
        <w:rPr>
          <w:rStyle w:val="Ppogrubienie"/>
        </w:rPr>
        <w:t>Art.</w:t>
      </w:r>
      <w:r>
        <w:rPr>
          <w:rStyle w:val="Ppogrubienie"/>
        </w:rPr>
        <w:t> </w:t>
      </w:r>
      <w:r w:rsidRPr="00690EEE">
        <w:rPr>
          <w:rStyle w:val="Ppogrubienie"/>
        </w:rPr>
        <w:t>2.</w:t>
      </w:r>
      <w:r w:rsidRPr="00690EEE">
        <w:t xml:space="preserve"> 1. Umowy zakładowe przewidujące w dniu poprzedzającym dzień wejścia w</w:t>
      </w:r>
      <w:r>
        <w:t> </w:t>
      </w:r>
      <w:r w:rsidRPr="00690EEE">
        <w:t xml:space="preserve">życie niniejszej ustawy dłuższy niż 3 lata staż pracy u danego pracodawcy, uprawniający do uczestnictwa w pracowniczym programie emerytalnym zostaną do </w:t>
      </w:r>
      <w:r w:rsidR="00D838A5">
        <w:t>dnia 31 grudnia 2018 </w:t>
      </w:r>
      <w:r w:rsidRPr="00690EEE">
        <w:t>r. dostosowane do art. 5 ust. 1c ustawy zmienianej w art. 1, w</w:t>
      </w:r>
      <w:r>
        <w:t xml:space="preserve"> </w:t>
      </w:r>
      <w:r w:rsidRPr="00690EEE">
        <w:t>brzmieniu nadanym niniejszą ustawą.</w:t>
      </w:r>
    </w:p>
    <w:p w:rsidR="00690EEE" w:rsidRPr="00690EEE" w:rsidRDefault="00690EEE" w:rsidP="00690EEE">
      <w:pPr>
        <w:pStyle w:val="USTustnpkodeksu"/>
      </w:pPr>
      <w:r>
        <w:t xml:space="preserve">2. </w:t>
      </w:r>
      <w:r w:rsidRPr="00690EEE">
        <w:t>Zmiana umów zakładowych, o których mowa w ust. 1, nie wymaga wydania decyzji administracyjnej przez organ nadzoru.</w:t>
      </w:r>
    </w:p>
    <w:p w:rsidR="00690EEE" w:rsidRPr="00690EEE" w:rsidRDefault="00690EEE" w:rsidP="00690EEE">
      <w:pPr>
        <w:pStyle w:val="USTustnpkodeksu"/>
      </w:pPr>
      <w:r>
        <w:t xml:space="preserve">3. </w:t>
      </w:r>
      <w:r w:rsidRPr="00690EEE">
        <w:t>Pracodawca jest obowiązany zgłosić do organu nadzoru informację o zmianie w</w:t>
      </w:r>
      <w:r>
        <w:t> </w:t>
      </w:r>
      <w:r w:rsidRPr="00690EEE">
        <w:t>prowadzonym programie, o której mowa w ust. 1, w terminie 30 dni od dnia jej dokonania.</w:t>
      </w:r>
    </w:p>
    <w:p w:rsidR="00690EEE" w:rsidRPr="00690EEE" w:rsidRDefault="00690EEE" w:rsidP="00690EEE">
      <w:pPr>
        <w:pStyle w:val="USTustnpkodeksu"/>
      </w:pPr>
      <w:r>
        <w:t xml:space="preserve">4. </w:t>
      </w:r>
      <w:r w:rsidRPr="00690EEE">
        <w:t>Organ nadzoru zawiadamia pracodawcę o dokonaniu rejestracji zmian, o których mowa w ust. 1, w terminie 30 dni od dnia zgłoszenia.</w:t>
      </w:r>
    </w:p>
    <w:p w:rsidR="00690EEE" w:rsidRPr="00690EEE" w:rsidRDefault="00690EEE" w:rsidP="00690EEE">
      <w:pPr>
        <w:pStyle w:val="ARTartustawynprozporzdzenia"/>
      </w:pPr>
      <w:r w:rsidRPr="00690EEE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690EEE">
        <w:rPr>
          <w:rStyle w:val="Ppogrubienie"/>
        </w:rPr>
        <w:t>3.</w:t>
      </w:r>
      <w:r w:rsidRPr="00690EEE">
        <w:t xml:space="preserve"> 1. Od dnia 1 stycznia 2019 r. postanowienia umów zakładowych sprzeczne z</w:t>
      </w:r>
      <w:r>
        <w:t> </w:t>
      </w:r>
      <w:r w:rsidRPr="00690EEE">
        <w:t>art.</w:t>
      </w:r>
      <w:r>
        <w:t> </w:t>
      </w:r>
      <w:r w:rsidRPr="00690EEE">
        <w:t>5 ust. 1c ustawy zmienianej w art. 1, w brzmieniu nadanym niniejszą ustawą, są nieważne.</w:t>
      </w:r>
    </w:p>
    <w:p w:rsidR="00690EEE" w:rsidRPr="00690EEE" w:rsidRDefault="00690EEE" w:rsidP="00690EEE">
      <w:pPr>
        <w:pStyle w:val="USTustnpkodeksu"/>
      </w:pPr>
      <w:r>
        <w:t xml:space="preserve">2. </w:t>
      </w:r>
      <w:r w:rsidRPr="00690EEE">
        <w:t>W miejsce postanowień, o których mowa w ust. 1, stosuje się maksymalny dopuszczalny staż pracy, o którym mowa w art. 5 ust. 1c ustawy zmienianej w</w:t>
      </w:r>
      <w:r>
        <w:t xml:space="preserve"> </w:t>
      </w:r>
      <w:r w:rsidRPr="00690EEE">
        <w:t>art.</w:t>
      </w:r>
      <w:r>
        <w:t xml:space="preserve"> </w:t>
      </w:r>
      <w:r w:rsidRPr="00690EEE">
        <w:t>1, w</w:t>
      </w:r>
      <w:r>
        <w:t> </w:t>
      </w:r>
      <w:r w:rsidRPr="00690EEE">
        <w:t>brzmieniu nadanym niniejszą ustawą.</w:t>
      </w:r>
    </w:p>
    <w:p w:rsidR="00690EEE" w:rsidRPr="00690EEE" w:rsidRDefault="00690EEE" w:rsidP="00690EEE">
      <w:pPr>
        <w:pStyle w:val="ARTartustawynprozporzdzenia"/>
      </w:pPr>
      <w:r w:rsidRPr="00690EEE">
        <w:rPr>
          <w:rStyle w:val="Ppogrubienie"/>
        </w:rPr>
        <w:t>Art.</w:t>
      </w:r>
      <w:r>
        <w:rPr>
          <w:rStyle w:val="Ppogrubienie"/>
        </w:rPr>
        <w:t> </w:t>
      </w:r>
      <w:r w:rsidRPr="00690EEE">
        <w:rPr>
          <w:rStyle w:val="Ppogrubienie"/>
        </w:rPr>
        <w:t>4.</w:t>
      </w:r>
      <w:r w:rsidRPr="00690EEE">
        <w:t xml:space="preserve"> 1. Organ nadzoru po dniu 31 stycznia 2019 r. dokona w rejestrze pracow</w:t>
      </w:r>
      <w:r w:rsidR="000A1A6E">
        <w:t>niczych programów emerytalnych –</w:t>
      </w:r>
      <w:r w:rsidRPr="00690EEE">
        <w:t xml:space="preserve"> w odniesieniu do pracodawców, którzy nie dopełnili obowiązku, o którym mowa w art. 2 ust. 3 niniejszej ustawy </w:t>
      </w:r>
      <w:r w:rsidR="000A1A6E">
        <w:t>–</w:t>
      </w:r>
      <w:r w:rsidRPr="00690EEE">
        <w:t xml:space="preserve"> adnotacji wprowadzającej maksymalną długość stażu pracy u danego pracodawcy, zgodną z</w:t>
      </w:r>
      <w:r>
        <w:t xml:space="preserve"> </w:t>
      </w:r>
      <w:r w:rsidRPr="00690EEE">
        <w:t>art. 5 ust. 1c ustawy zmienianej w art. 1, w</w:t>
      </w:r>
      <w:r>
        <w:t xml:space="preserve"> </w:t>
      </w:r>
      <w:r w:rsidRPr="00690EEE">
        <w:t>brzmieniu nadanym niniejszą ustawą.</w:t>
      </w:r>
    </w:p>
    <w:p w:rsidR="00690EEE" w:rsidRPr="00690EEE" w:rsidRDefault="00690EEE" w:rsidP="00690EEE">
      <w:pPr>
        <w:pStyle w:val="USTustnpkodeksu"/>
      </w:pPr>
      <w:r>
        <w:t xml:space="preserve">2. </w:t>
      </w:r>
      <w:r w:rsidRPr="00690EEE">
        <w:t>Organ nadzoru informuje pracodawcę o dokonaniu adnotacji, o której mowa w</w:t>
      </w:r>
      <w:r>
        <w:t xml:space="preserve"> </w:t>
      </w:r>
      <w:r w:rsidRPr="00690EEE">
        <w:t>ust.</w:t>
      </w:r>
      <w:r>
        <w:t xml:space="preserve"> </w:t>
      </w:r>
      <w:r w:rsidRPr="00690EEE">
        <w:t>1, w terminie 30 dni od dnia jej dokonania.</w:t>
      </w:r>
    </w:p>
    <w:p w:rsidR="00690EEE" w:rsidRPr="00690EEE" w:rsidRDefault="00690EEE" w:rsidP="00690EEE">
      <w:pPr>
        <w:pStyle w:val="ARTartustawynprozporzdzenia"/>
      </w:pPr>
      <w:r w:rsidRPr="00690EEE">
        <w:rPr>
          <w:rStyle w:val="Ppogrubienie"/>
        </w:rPr>
        <w:t>Art. 5.</w:t>
      </w:r>
      <w:r w:rsidRPr="00690EEE">
        <w:t xml:space="preserve"> Ustawa wchodzi w życie z dniem następującym po dniu ogłoszenia.</w:t>
      </w:r>
    </w:p>
    <w:sectPr w:rsidR="00690EEE" w:rsidRPr="00690EE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EEE" w:rsidRDefault="00690EEE">
      <w:r>
        <w:separator/>
      </w:r>
    </w:p>
  </w:endnote>
  <w:endnote w:type="continuationSeparator" w:id="0">
    <w:p w:rsidR="00690EEE" w:rsidRDefault="00690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EEE" w:rsidRDefault="00690EEE">
      <w:r>
        <w:separator/>
      </w:r>
    </w:p>
  </w:footnote>
  <w:footnote w:type="continuationSeparator" w:id="0">
    <w:p w:rsidR="00690EEE" w:rsidRDefault="00690EEE">
      <w:r>
        <w:continuationSeparator/>
      </w:r>
    </w:p>
  </w:footnote>
  <w:footnote w:id="1">
    <w:p w:rsidR="00690EEE" w:rsidRDefault="00690EEE" w:rsidP="00690EE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>Niniejsza ustawa wdraża dyrektywę Parlamentu Europejskiego i Rady 2014/50/UE z dnia 16 kwietnia 2014 r. w sprawie minimalnych wymogów służących zwiększeniu mobilności pracowników między państwami członkowskimi dzięki łatwiejszemu nabywaniu i zachowywaniu uprawnień do dodatkowych emerytur (Dz. Urz. UE L 128 z 30.04.2014, s</w:t>
      </w:r>
      <w:r w:rsidR="00D838A5">
        <w:t>tr</w:t>
      </w:r>
      <w:r>
        <w:t>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F1CF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EE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A6E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1CF6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374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4F3C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0EEE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3509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6F42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8A5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1ECEFBC-07EC-4257-822C-95A661F7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4F3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404F3C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404F3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404F3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404F3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404F3C"/>
    <w:pPr>
      <w:ind w:left="1780"/>
    </w:pPr>
  </w:style>
  <w:style w:type="character" w:styleId="Odwoanieprzypisudolnego">
    <w:name w:val="footnote reference"/>
    <w:uiPriority w:val="99"/>
    <w:semiHidden/>
    <w:rsid w:val="00404F3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04F3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690EEE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04F3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690EEE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04F3C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690EEE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04F3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404F3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404F3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404F3C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690EEE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04F3C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404F3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404F3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404F3C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04F3C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404F3C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04F3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04F3C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404F3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404F3C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404F3C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404F3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404F3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404F3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404F3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404F3C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404F3C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404F3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404F3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404F3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404F3C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404F3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404F3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404F3C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404F3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404F3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404F3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404F3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404F3C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404F3C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404F3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404F3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404F3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404F3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404F3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404F3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404F3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404F3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404F3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404F3C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690EEE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0EEE"/>
  </w:style>
  <w:style w:type="paragraph" w:customStyle="1" w:styleId="ZTIRLITzmlittiret">
    <w:name w:val="Z_TIR/LIT – zm. lit. tiret"/>
    <w:basedOn w:val="LITlitera"/>
    <w:uiPriority w:val="57"/>
    <w:qFormat/>
    <w:rsid w:val="00404F3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404F3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404F3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404F3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404F3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404F3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404F3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404F3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404F3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404F3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404F3C"/>
  </w:style>
  <w:style w:type="paragraph" w:customStyle="1" w:styleId="ZTIR2TIRzmpodwtirtiret">
    <w:name w:val="Z_TIR/2TIR – zm. podw. tir. tiret"/>
    <w:basedOn w:val="TIRtiret"/>
    <w:uiPriority w:val="78"/>
    <w:qFormat/>
    <w:rsid w:val="00404F3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404F3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404F3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404F3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404F3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404F3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404F3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404F3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404F3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404F3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404F3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404F3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404F3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404F3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404F3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404F3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404F3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404F3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404F3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404F3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404F3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404F3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404F3C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404F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F3C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0EE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04F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0EEE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404F3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404F3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404F3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404F3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404F3C"/>
    <w:pPr>
      <w:ind w:left="2404"/>
    </w:pPr>
  </w:style>
  <w:style w:type="paragraph" w:customStyle="1" w:styleId="ODNONIKtreodnonika">
    <w:name w:val="ODNOŚNIK – treść odnośnika"/>
    <w:uiPriority w:val="19"/>
    <w:qFormat/>
    <w:rsid w:val="00404F3C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404F3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404F3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404F3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404F3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404F3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404F3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404F3C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404F3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404F3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404F3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404F3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404F3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404F3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404F3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404F3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404F3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404F3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404F3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404F3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404F3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404F3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404F3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404F3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404F3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404F3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404F3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404F3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404F3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404F3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404F3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404F3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404F3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404F3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404F3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404F3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404F3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404F3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404F3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404F3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404F3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404F3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404F3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404F3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404F3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404F3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404F3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404F3C"/>
  </w:style>
  <w:style w:type="paragraph" w:customStyle="1" w:styleId="ZZUSTzmianazmust">
    <w:name w:val="ZZ/UST(§) – zmiana zm. ust. (§)"/>
    <w:basedOn w:val="ZZARTzmianazmart"/>
    <w:uiPriority w:val="65"/>
    <w:qFormat/>
    <w:rsid w:val="00404F3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404F3C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404F3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404F3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404F3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404F3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404F3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404F3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404F3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404F3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404F3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404F3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404F3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404F3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404F3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404F3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404F3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04F3C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404F3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404F3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404F3C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404F3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404F3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404F3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404F3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404F3C"/>
  </w:style>
  <w:style w:type="paragraph" w:customStyle="1" w:styleId="TEKSTZacznikido">
    <w:name w:val="TEKST&quot;Załącznik(i) do ...&quot;"/>
    <w:uiPriority w:val="28"/>
    <w:qFormat/>
    <w:rsid w:val="00404F3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404F3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404F3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404F3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404F3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404F3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404F3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404F3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404F3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404F3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404F3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404F3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404F3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404F3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404F3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404F3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404F3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404F3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404F3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404F3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404F3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404F3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404F3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404F3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404F3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404F3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404F3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404F3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404F3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404F3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404F3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404F3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404F3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404F3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404F3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404F3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404F3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404F3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404F3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404F3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404F3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404F3C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404F3C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404F3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404F3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404F3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404F3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404F3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404F3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404F3C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404F3C"/>
    <w:rPr>
      <w:b/>
    </w:rPr>
  </w:style>
  <w:style w:type="character" w:customStyle="1" w:styleId="Kkursywa">
    <w:name w:val="_K_ – kursywa"/>
    <w:basedOn w:val="Domylnaczcionkaakapitu"/>
    <w:uiPriority w:val="1"/>
    <w:qFormat/>
    <w:rsid w:val="00404F3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404F3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404F3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404F3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404F3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404F3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404F3C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404F3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404F3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404F3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404F3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404F3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404F3C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404F3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404F3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404F3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404F3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404F3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404F3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404F3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404F3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404F3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404F3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404F3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404F3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404F3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404F3C"/>
    <w:pPr>
      <w:ind w:left="1780"/>
    </w:pPr>
  </w:style>
  <w:style w:type="table" w:styleId="Tabela-Siatka">
    <w:name w:val="Table Grid"/>
    <w:basedOn w:val="Standardowy"/>
    <w:locked/>
    <w:rsid w:val="00690EE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690EEE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404F3C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404F3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404F3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404F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.KPRM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1CD644-189D-4036-8B4E-C3332AA97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648</Words>
  <Characters>3888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2012-04-23T06:39:00Z</cp:lastPrinted>
  <dcterms:created xsi:type="dcterms:W3CDTF">2018-04-06T10:14:00Z</dcterms:created>
  <dcterms:modified xsi:type="dcterms:W3CDTF">2018-04-06T10:14:00Z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